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6043C6" w:rsidRPr="006043C6" w:rsidTr="006043C6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043C6" w:rsidRPr="006043C6" w:rsidRDefault="006043C6" w:rsidP="006043C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3C6" w:rsidRPr="006043C6" w:rsidTr="006043C6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043C6" w:rsidRPr="006043C6" w:rsidRDefault="006043C6" w:rsidP="006043C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/>
              </w:rPr>
              <w:t>НАЦІОНАЛЬНА КОМІ</w:t>
            </w:r>
            <w:proofErr w:type="gramStart"/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/>
              </w:rPr>
              <w:t>С</w:t>
            </w:r>
            <w:proofErr w:type="gramEnd"/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ru-RU" w:eastAsia="ru-RU"/>
              </w:rPr>
              <w:t>ІЯ, ЩО ЗДІЙСНЮЄ ДЕРЖАВНЕ РЕГУЛЮВАННЯ У СФЕРАХ ЕНЕРГЕТИКИ ТА КОМУНАЛЬНИХ ПОСЛУГ</w:t>
            </w:r>
          </w:p>
        </w:tc>
      </w:tr>
      <w:tr w:rsidR="006043C6" w:rsidRPr="006043C6" w:rsidTr="006043C6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043C6" w:rsidRPr="006043C6" w:rsidRDefault="006043C6" w:rsidP="006043C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ru-RU" w:eastAsia="ru-RU"/>
              </w:rPr>
              <w:t>ПОСТАНОВА</w:t>
            </w:r>
          </w:p>
        </w:tc>
      </w:tr>
      <w:tr w:rsidR="006043C6" w:rsidRPr="006043C6" w:rsidTr="006043C6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043C6" w:rsidRPr="006043C6" w:rsidRDefault="006043C6" w:rsidP="006043C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04.04.2017  № 467</w:t>
            </w:r>
          </w:p>
        </w:tc>
      </w:tr>
    </w:tbl>
    <w:p w:rsidR="006043C6" w:rsidRPr="006043C6" w:rsidRDefault="006043C6" w:rsidP="006043C6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n169"/>
      <w:bookmarkEnd w:id="0"/>
      <w:r w:rsidRPr="00604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{Постанова втратила чинність на підстав</w:t>
      </w:r>
      <w:proofErr w:type="gramStart"/>
      <w:r w:rsidRPr="00604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і П</w:t>
      </w:r>
      <w:proofErr w:type="gramEnd"/>
      <w:r w:rsidRPr="00604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останови Національної комісії, що здійснює державне регулювання у сферах енергетики та комунальних послуг </w:t>
      </w:r>
      <w:hyperlink r:id="rId5" w:anchor="n6" w:tgtFrame="_blank" w:history="1">
        <w:r w:rsidRPr="006043C6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  <w:lang w:val="ru-RU" w:eastAsia="ru-RU"/>
          </w:rPr>
          <w:t>№ 1565 від 25.07.2019</w:t>
        </w:r>
      </w:hyperlink>
      <w:r w:rsidRPr="006043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" w:name="n3"/>
      <w:bookmarkEnd w:id="1"/>
      <w:r w:rsidRPr="006043C6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Про затвердження Ліцензійних умов провадження господарської діяльності з захоронення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в</w:t>
      </w:r>
      <w:proofErr w:type="gramEnd"/>
    </w:p>
    <w:p w:rsidR="006043C6" w:rsidRPr="006043C6" w:rsidRDefault="006043C6" w:rsidP="006043C6">
      <w:pPr>
        <w:shd w:val="clear" w:color="auto" w:fill="F0F0F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" w:name="n122"/>
      <w:bookmarkEnd w:id="2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{Із змінами, внесеними згідно з Постановою Національної комісії,</w:t>
      </w:r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що здійснює державне регулювання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сферах</w:t>
      </w:r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енергетики та комунальних послуг</w:t>
      </w:r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hyperlink r:id="rId6" w:anchor="n5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" w:name="n4"/>
      <w:bookmarkEnd w:id="3"/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 до законів України </w:t>
      </w:r>
      <w:hyperlink r:id="rId7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природні монополії»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8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державне регулювання у сфері комунальних послуг»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9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ліцензування видів господарської діяльності»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10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Національну комісію, що здійснює державне регулювання у сферах енергетики та комунальних послуг»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Національна комісія, що здійснює державне регулювання у сферах енергетики та комунальних послуг, </w:t>
      </w:r>
      <w:r w:rsidRPr="006043C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ru-RU" w:eastAsia="ru-RU"/>
        </w:rPr>
        <w:t>ПОСТАНОВЛЯЄ:</w:t>
      </w:r>
      <w:proofErr w:type="gramEnd"/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" w:name="n5"/>
      <w:bookmarkEnd w:id="4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Затвердити </w:t>
      </w:r>
      <w:hyperlink r:id="rId11" w:anchor="n13" w:history="1">
        <w:r w:rsidRPr="006043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Ліцензійні умови провадження господарської діяльності з захоронення побутових відходів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що додаються.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" w:name="n6"/>
      <w:bookmarkEnd w:id="5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Суб’єктам господарювання, які провадять господарську діяльність з захоронення побутових відходів на полігонах, введених в експлуатацію до 16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лютого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2010 року, та звалищах, привести свою господарську діяльність у відповідність до вимог: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" w:name="n7"/>
      <w:bookmarkEnd w:id="6"/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ідпунктів 1-4 пункту 4.2 глави 4 Ліцензійних умов провадження господарської діяльності з захоронення побутових відходів - до 01 січня 2018 року;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" w:name="n123"/>
      <w:bookmarkEnd w:id="7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{Абзац другий пункту 2 із змінами, внесеними згідно з Постановою Національної комісії, що здійснює державне регулювання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сферах енергетики та комунальних послуг </w:t>
      </w:r>
      <w:hyperlink r:id="rId12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" w:name="n8"/>
      <w:bookmarkEnd w:id="8"/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ідпунктів 5, 6 пункту 4.2 глави 4 Ліцензійних умов провадження господарської діяльності з захоронення побутових відходів - до 01 січня 2019 року;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" w:name="n124"/>
      <w:bookmarkEnd w:id="9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 xml:space="preserve">{Абзац третій пункту 2 із змінами, внесеними згідно з Постановою Національної комісії, що здійснює державне регулювання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сферах енергетики та комунальних послуг </w:t>
      </w:r>
      <w:hyperlink r:id="rId13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" w:name="n9"/>
      <w:bookmarkEnd w:id="10"/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ідпунктів 7 - 11 пункту 4.2 глави 4 Ліцензійних умов провадження господарської діяльності з захоронення побутових відходів - до 01 січня 2020 року.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" w:name="n125"/>
      <w:bookmarkEnd w:id="11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{Абзац четвертий пункту 2 із змінами, внесеними згідно з Постановою Національної комісії, що здійснює державне регулювання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сферах енергетики та комунальних послуг </w:t>
      </w:r>
      <w:hyperlink r:id="rId14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" w:name="n10"/>
      <w:bookmarkEnd w:id="12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Ця постанова набирає чинності через два місяці з дня, наступного за днем її опублікування в офіційному друкованому виданні - газеті «Урядовий кур’є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», крім </w:t>
      </w:r>
      <w:hyperlink r:id="rId15" w:anchor="n75" w:history="1">
        <w:r w:rsidRPr="006043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підпункту 3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пункту 4.1 глави 4 Ліцензійних умов провадження господарської діяльності з захоронення побутових відходів, який набирає чинності через 3 місяці з дня набрання чинності показників якості надання послуг з захоронення побутових відходів, затверджених Національною комісією, що здійснює державне регулювання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сферах енергетики та комунальних послуг.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6043C6" w:rsidRPr="006043C6" w:rsidTr="006043C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043C6" w:rsidRPr="006043C6" w:rsidRDefault="006043C6" w:rsidP="006043C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3" w:name="n11"/>
            <w:bookmarkEnd w:id="13"/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Голова НКРЕКП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043C6" w:rsidRPr="006043C6" w:rsidRDefault="006043C6" w:rsidP="006043C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Д. Вовк</w:t>
            </w:r>
          </w:p>
        </w:tc>
      </w:tr>
    </w:tbl>
    <w:p w:rsidR="006043C6" w:rsidRPr="006043C6" w:rsidRDefault="006043C6" w:rsidP="0060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4" w:name="n116"/>
      <w:bookmarkEnd w:id="14"/>
      <w:r w:rsidRPr="006043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6043C6" w:rsidRPr="006043C6" w:rsidTr="006043C6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043C6" w:rsidRPr="006043C6" w:rsidRDefault="006043C6" w:rsidP="006043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5" w:name="n12"/>
            <w:bookmarkEnd w:id="15"/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043C6" w:rsidRPr="006043C6" w:rsidRDefault="006043C6" w:rsidP="006043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ЗАТВЕРДЖЕНО</w:t>
            </w:r>
            <w:r w:rsidRPr="006043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Постанова НКРЕКП</w:t>
            </w:r>
            <w:r w:rsidRPr="006043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04.04.2017  № 467</w:t>
            </w:r>
          </w:p>
        </w:tc>
      </w:tr>
    </w:tbl>
    <w:p w:rsidR="006043C6" w:rsidRPr="006043C6" w:rsidRDefault="006043C6" w:rsidP="006043C6">
      <w:pPr>
        <w:shd w:val="clear" w:color="auto" w:fill="F0F0F0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6" w:name="n13"/>
      <w:bookmarkEnd w:id="16"/>
      <w:r w:rsidRPr="006043C6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ЛІЦЕНЗІЙНІ УМОВИ</w:t>
      </w:r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043C6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провадження господарської діяльності з захоронення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в</w:t>
      </w:r>
      <w:proofErr w:type="gramEnd"/>
    </w:p>
    <w:p w:rsidR="006043C6" w:rsidRPr="006043C6" w:rsidRDefault="006043C6" w:rsidP="006043C6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7" w:name="n14"/>
      <w:bookmarkEnd w:id="17"/>
      <w:r w:rsidRPr="006043C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1. Загальні положення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8" w:name="n15"/>
      <w:bookmarkEnd w:id="18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1.1.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Ліцензійні умови розроблені відповідно до </w:t>
      </w:r>
      <w:hyperlink r:id="rId16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Водного кодексу України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законів України </w:t>
      </w:r>
      <w:hyperlink r:id="rId17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ліцензування видів господарської діяльності»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18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природні монополії»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19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</w:t>
        </w:r>
      </w:hyperlink>
      <w:hyperlink r:id="rId20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Про Національну комісію, що здійснює державне регулювання у сферах енергетики та комунальних послуг</w:t>
        </w:r>
      </w:hyperlink>
      <w:hyperlink r:id="rId21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22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державне регулювання у сфері комунальних послуг»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23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житлово-комунальні послуги»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24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відходи»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25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охорону атмосферного повітря»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9" w:name="n16"/>
      <w:bookmarkEnd w:id="19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1.2. Ліцензіат зобов’язаний виконувати вимоги цих Ліцензійних умов, а здобувач ліцензії - їм відповідати.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0" w:name="n17"/>
      <w:bookmarkEnd w:id="20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1.3. У цих Ліцензійних умовах терміни вживаються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таких значеннях: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1" w:name="n18"/>
      <w:bookmarkEnd w:id="21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біогаз - суміш газів, що утворюється при анаеробному розкладанні органічної складової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2" w:name="n19"/>
      <w:bookmarkEnd w:id="22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дегазація полігона/звалища - одна з технологічних операцій захоронення побутових відходів,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пов’язана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зі збиранням та вилученням біогазу з тіла полігона/звалища з метою його утилізації або знешкодження;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3" w:name="n126"/>
      <w:bookmarkEnd w:id="23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{Абзац третій пункту 1.3 глави 1 в редакц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ії 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останови Національної комісії, що здійснює державне регулювання у сферах енергетики та комунальних послуг </w:t>
      </w:r>
      <w:hyperlink r:id="rId26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4" w:name="n20"/>
      <w:bookmarkEnd w:id="24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закриття полігона/звалища - припинення приймання відході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полігон/звалище з метою його рекультивації;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5" w:name="n21"/>
      <w:bookmarkEnd w:id="25"/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закриття черги полігона/звалища - припинення складування відходів на відповідній черзі полігона/звалища;</w:t>
      </w:r>
      <w:proofErr w:type="gramEnd"/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6" w:name="n22"/>
      <w:bookmarkEnd w:id="26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засоби провадження діяльності з захоронення побутових відходів - об’єкти, споруди, засоби механізації, призначені для захоронення побутових відходів;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7" w:name="n23"/>
      <w:bookmarkEnd w:id="27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контрольно-дезінфікуюча зона - зона на виїзді з полігона/звалища, обладнана залізобетонним резервуаром для дезінфекції коліс смі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тт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євозів;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8" w:name="n24"/>
      <w:bookmarkEnd w:id="28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ліцензіат - суб’єкт господарювання, який одержав ліцензію на провадження господарської діяльності з захоронення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9" w:name="n25"/>
      <w:bookmarkEnd w:id="29"/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іцензована діяльність - господарська діяльність з захоронення побутових відходів;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0" w:name="n26"/>
      <w:bookmarkEnd w:id="30"/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місце провадження діяльності - земельна ділянка (сукупність суміжних земельних ділянок), у межах якої провадиться господарська діяльність з захоронення побутових відходів за допомогою комплексу об’єктів, споруд, пов’язаних єдиним технологічним процесом, зазначених у документах, що додаються до заяви про отримання ліцензії (з урахуванням змін до документів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поданих ліцензіатом в установленому цими Ліцензійними умовами порядку);</w:t>
      </w:r>
      <w:proofErr w:type="gramEnd"/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1" w:name="n127"/>
      <w:bookmarkEnd w:id="31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{Абзац десятий пункту 1.3 глави 1 із змінами, внесеними згідно з Постановою Національної комісії, що здійснює державне регулювання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сферах енергетики та комунальних послуг </w:t>
      </w:r>
      <w:hyperlink r:id="rId27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2" w:name="n27"/>
      <w:bookmarkEnd w:id="32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перехресне субсидіювання - переміщення доходу від провадження господарської діяльності з захоронення побутових відходів для фінансової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ідтримки іншого виду господарської діяльності в межах одного або декількох суб’єктів господарювання;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3" w:name="n28"/>
      <w:bookmarkEnd w:id="33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приймання побутових відходів - одна з технологічних операцій захоронення побутових відходів,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пов'язана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зі зважуванням, перевіркою документів на відходи, їх склад і відсутність у них матеріалів і речовин, заборонених для захоронення на полігоні/звалищі;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4" w:name="n128"/>
      <w:bookmarkEnd w:id="34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{Абзац дванадцятий пункту 1.3 глави 1 із змінами, внесеними згідно з Постановою Національної комісії, що здійснює державне регулювання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сферах енергетики та комунальних послуг </w:t>
      </w:r>
      <w:hyperlink r:id="rId28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5" w:name="n29"/>
      <w:bookmarkEnd w:id="35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робоча карта полігона/звалища - частина черги полігона/звалища,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якій здійснюється складування побутових відходів;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6" w:name="n30"/>
      <w:bookmarkEnd w:id="36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система моніторингу - контроль за станом підземних вод, водойм, атмосферного повітря, ґрунтів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зоні можливого негативного впливу місця провадження діяльності;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7" w:name="n129"/>
      <w:bookmarkEnd w:id="37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{Абзац чотирнадцятий пункту 1.3 глави 1 із змінами, внесеними згідно з Постановою Національної комісії, що здійснює державне регулювання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сферах енергетики та комунальних послуг </w:t>
      </w:r>
      <w:hyperlink r:id="rId29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8" w:name="n31"/>
      <w:bookmarkEnd w:id="38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складування побутових відходів - одна з технологічних операцій захоронення побутових відходів, яка регламентує технологію пошарового розміщення відході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їх ізоляцію інертними матеріалами;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9" w:name="n130"/>
      <w:bookmarkEnd w:id="39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 xml:space="preserve">{Абзац п'ятнадцятий пункту 1.3 глави 1 із змінами, внесеними згідно з Постановою Національної комісії, що здійснює державне регулювання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сферах енергетики та комунальних послуг </w:t>
      </w:r>
      <w:hyperlink r:id="rId30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0" w:name="n32"/>
      <w:bookmarkEnd w:id="40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фільтрат -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ідка фаза, що утворюється на полігоні/звалищі у процесі захоронення побутових відходів з вологістю більше 55 % та внаслідок атмосферних опадів, обсяг яких перевищує кількість вологи, що випаровується з поверхні полігона/звалища;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1" w:name="n33"/>
      <w:bookmarkEnd w:id="41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черга полігона/звалища - частина території полігона/звалища, відведена для складування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2" w:name="n34"/>
      <w:bookmarkEnd w:id="42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Інші терміни вживаються у значеннях, наведених у </w:t>
      </w:r>
      <w:hyperlink r:id="rId31" w:tgtFrame="_blank" w:history="1">
        <w:proofErr w:type="gramStart"/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Водному</w:t>
        </w:r>
        <w:proofErr w:type="gramEnd"/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 xml:space="preserve"> кодексі України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законах України </w:t>
      </w:r>
      <w:hyperlink r:id="rId32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охорону атмосферного повітря»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33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відходи»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34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природні монополії»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35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ліцензування видів господарської діяльності»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3" w:name="n35"/>
      <w:bookmarkEnd w:id="43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1.4. Національна комісія, що здійснює державне регулювання у сферах енергетики та комунальних послуг (далі - НКРЕКП), здійснює ліцензування господарської діяльності з захоронення побутових відходів у разі, якщо суб’єкт господарювання провадить (має намі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провадити) діяльність з захоронення побутових відходів для населених пунктів з чисельністю населення понад 100 тисяч осіб (сукупно) та/або суб’єкт господарювання провадить (має намі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провадити) діяльність з захоронення побутових відходів на об’єктах (полігон/звалище) з потужністю понад 50 тисяч тонн або 200 тисяч метрів кубічних побутових відходів на рік.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4" w:name="n36"/>
      <w:bookmarkEnd w:id="44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1.5. Здобувач ліцензії, який має намі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провадити господарську діяльність з захоронення побутових відходів, подає до НКРЕКП заяву про отримання ліцензії за формою згідно з </w:t>
      </w:r>
      <w:hyperlink r:id="rId36" w:anchor="n109" w:history="1">
        <w:r w:rsidRPr="006043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додатком 1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до цих Ліцензійних умов.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5" w:name="n37"/>
      <w:bookmarkEnd w:id="45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1.6.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заяви про отримання ліцензії здобувачем надаються документи згідно з переліком, який є вичерпним: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6" w:name="n38"/>
      <w:bookmarkEnd w:id="46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відомості про засоби провадження господарської діяльності з захоронення побутових відходів (</w:t>
      </w:r>
      <w:hyperlink r:id="rId37" w:anchor="n111" w:history="1">
        <w:r w:rsidRPr="006043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додаток 2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7" w:name="n39"/>
      <w:bookmarkEnd w:id="47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відомості про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ісця провадження господарської діяльності з захоронення побутових відходів (</w:t>
      </w:r>
      <w:hyperlink r:id="rId38" w:anchor="n113" w:history="1">
        <w:r w:rsidRPr="006043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додаток 3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8" w:name="n40"/>
      <w:bookmarkEnd w:id="48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 копія документа, що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ідтверджує наявність акредитованої лабораторії, яка здійснює контроль за станом підземних вод, водойм, атмосферного повітря, ґрунтів, або копія договору на виконання таких робіт з акредитованими лабораторіями інших організацій;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9" w:name="n131"/>
      <w:bookmarkEnd w:id="49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3 пункту 1.6 глави 1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39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0" w:name="n41"/>
      <w:bookmarkEnd w:id="50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4) копія документа, що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ідтверджує прийняття в експлуатацію закінчених будівництвом об’єктів (подається суб’єктами господарювання, які здійснюють захоронення побутових відходів на полігонах, введених в експлуатацію після 01 січня 2006 року);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1" w:name="n42"/>
      <w:bookmarkEnd w:id="51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5) копія паспорту місця видалення відходів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ідповідно до </w:t>
      </w:r>
      <w:hyperlink r:id="rId40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Порядку ведення реєстру місць видалення відходів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затвердженого постановою Кабінету Міністрів України від 03 серпня 1998 року № 1216;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2" w:name="n43"/>
      <w:bookmarkEnd w:id="52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6) копія інструкції з експлуатації полігона, складена відповідно до вимог ДБН В.2.4-2-2005 «Полігони твердих побутових відходів. Основи проектування» (подається </w:t>
      </w:r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суб’єктами господарювання, які здійснюють захоронення побутових відходів на полігонах, введених в експлуатацію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ісля 01 січня 2006 року);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3" w:name="n44"/>
      <w:bookmarkEnd w:id="53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7) копія паспорта керівника здобувача ліцензії (або довіреної особи) із відміткою органу державної податкової служби про повідомлення про відмову через свої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рел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ігійні переконання від прийняття реєстраційного номера облікової картки платника податків (подається тільки фізичними особами-підприємцями, які через свої релігійні переконання відмовляються від прийняття реєстраційного номера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ікової картки платника податків та повідомили про це відповідний орган державної податкової служби);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4" w:name="n45"/>
      <w:bookmarkEnd w:id="54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8) засвідчені в установленому порядку копії документів, що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ідтверджують право власності, господарського відання, користування здобувача ліцензії на земельну ділянку та заявлені засоби провадження господарської діяльності з захоронення побутових відходів або їх використання/експлуатацію на іншій законній підставі.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5" w:name="n46"/>
      <w:bookmarkEnd w:id="55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1.7. Документи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заяви про отримання лі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ценз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ії здобувачем надаються відповідно до опису, складеного за формою згідно з </w:t>
      </w:r>
      <w:hyperlink r:id="rId41" w:anchor="n115" w:history="1">
        <w:r w:rsidRPr="006043C6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 w:eastAsia="ru-RU"/>
          </w:rPr>
          <w:t>додатком 4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до цих Ліцензійних умов, у двох екземплярах.</w:t>
      </w:r>
    </w:p>
    <w:p w:rsidR="006043C6" w:rsidRPr="006043C6" w:rsidRDefault="006043C6" w:rsidP="006043C6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6" w:name="n47"/>
      <w:bookmarkEnd w:id="56"/>
      <w:r w:rsidRPr="006043C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2. Кадрові вимоги до провадження господарської діяльності з захоронення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в</w:t>
      </w:r>
      <w:proofErr w:type="gramEnd"/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7" w:name="n48"/>
      <w:bookmarkEnd w:id="57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 При провадженні ліцензованої діяльності ліцензіат повинен дотримуватися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таких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кадрових вимог: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8" w:name="n49"/>
      <w:bookmarkEnd w:id="58"/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штатна чисельність працівників ліцензіата має включати мінімальну кількість працівників за окремими посадами, необхідних для виконання покладених на нього функцій, які мають відповідну освіту та кваліфікацію залежно від видів виконуваних робіт;</w:t>
      </w:r>
      <w:proofErr w:type="gramEnd"/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9" w:name="n50"/>
      <w:bookmarkEnd w:id="59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ліцензіат оформляє трудові відносини з персоналом шляхом укладення трудових договорів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ідповідно до </w:t>
      </w:r>
      <w:hyperlink r:id="rId42" w:anchor="n141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статті 24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Кодексу законів про працю України.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0" w:name="n132"/>
      <w:bookmarkEnd w:id="60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{Підпункт 2 пункту 2.1 глави 2 в редакц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ії 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останови Національної комісії, що здійснює державне регулювання у сферах енергетики та комунальних послуг </w:t>
      </w:r>
      <w:hyperlink r:id="rId43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1" w:name="n51"/>
      <w:bookmarkEnd w:id="61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{Підпункт 3 пункту 2.1 глави 2 виключено на підстав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 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останови Національної комісії, що здійснює державне регулювання у сферах енергетики та комунальних послуг </w:t>
      </w:r>
      <w:hyperlink r:id="rId44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2" w:name="n52"/>
      <w:bookmarkEnd w:id="62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{Пункт 2.2 глави 2 виключено на підстав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 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останови Національної комісії, що здійснює державне регулювання у сферах енергетики та комунальних послуг </w:t>
      </w:r>
      <w:hyperlink r:id="rId45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3" w:name="n53"/>
      <w:bookmarkEnd w:id="63"/>
      <w:r w:rsidRPr="006043C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3. Організаційні вимоги до провадження господарської діяльності з захоронення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в</w:t>
      </w:r>
      <w:proofErr w:type="gramEnd"/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4" w:name="n133"/>
      <w:bookmarkEnd w:id="64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Суб'єкти господарювання, що здійснюють господарську діяльність з захоронення побутових відходів, повинні дотримуватися вимог законів України </w:t>
      </w:r>
      <w:hyperlink r:id="rId46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державне регулювання у сфері комунальних послуг»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47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Національну комісію, що здійснює державне регулювання у сферах енергетики та комунальних послуг»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hyperlink r:id="rId48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«Про відходи»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інших актів законодавства, якими регулюється діяльність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сфері природних монополій та у сфері поводження з відходами.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5" w:name="n134"/>
      <w:bookmarkEnd w:id="65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{Абзац перший глави 3 в редакц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ії 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останови Національної комісії, що здійснює державне регулювання у сферах енергетики та комунальних послуг </w:t>
      </w:r>
      <w:hyperlink r:id="rId49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6" w:name="n54"/>
      <w:bookmarkEnd w:id="66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3.2. При провадженні господарської діяльності з захоронення побутових відходів  ліцензіат повинен дотримуватися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таких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організаційних вимог: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7" w:name="n135"/>
      <w:bookmarkEnd w:id="67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{Абзац глави 3 в редакц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ії 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останови Національної комісії, що здійснює державне регулювання у сферах енергетики та комунальних послуг </w:t>
      </w:r>
      <w:hyperlink r:id="rId50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8" w:name="n55"/>
      <w:bookmarkEnd w:id="68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зберігати протягом дії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іцензії документи, копії яких подавалися НКРЕКП, відповідно до вимог </w:t>
      </w:r>
      <w:hyperlink r:id="rId51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Закону України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«Про ліцензування видів господарської діяльності»;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9" w:name="n56"/>
      <w:bookmarkEnd w:id="69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повідомляти НКРЕКП про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зміни даних, які були зазначені в його документах, що додавалися до заяви про отримання ліцензії, не пізніше одного місяця з дня настання таких змін;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0" w:name="n57"/>
      <w:bookmarkEnd w:id="70"/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провадити ліцензовану діяльність виключно за місцем провадження діяльності ліцензіата та із застосуванням заявлених засобів провадження господарської діяльності, зазначених у документах, що додаються до заяви про отримання ліцензії (з урахуванням змін до документів, поданих ліцензіатом до НКРЕКП);</w:t>
      </w:r>
      <w:proofErr w:type="gramEnd"/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1" w:name="n58"/>
      <w:bookmarkEnd w:id="71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у разі планового припинення (у зв’язку з завершенням експлуатації полігона/звалища) провадження ліцензованої діяльності ліцензіат зобов’язаний повідомити сторону, з якою укладено догові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захоронення побутових відходів, про припинення провадження ліцензованої діяльності за два роки до дати такого припинення;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2" w:name="n59"/>
      <w:bookmarkEnd w:id="72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у разі планового припинення провадження ліцензованої діяльності, не пов’язаного з завершенням експлуатації полігона/звалища, ліцензіат зобов’язаний повідомити сторону, з якою укладено догові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захоронення побутових відходів, про припинення провадження ліцензованої діяльності у строк, який не може бути меншим ніж один місяць;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3" w:name="n60"/>
      <w:bookmarkEnd w:id="73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6) у разі позапланового припинення (у зв’язку з неможливістю використання матеріально-технічної бази, виникненням форс-мажорних обставин) провадження ліцензованої діяльності ліцензіат зобов’язаний невідкладно повідомити сторону, з якою укладено догові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захоронення побутових відходів, про дату і причини припинення провадження ліцензованої діяльності із визначенням приблизної дати відновлення її провадження;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4" w:name="n61"/>
      <w:bookmarkEnd w:id="74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7) забезпечити присутність керівника ліцензіата, його заступника або іншої уповноваженої особи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проведення НКРЕКП в установленому законом порядку перевірки додержання ліцензіатом вимог цих Ліцензійних умов;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5" w:name="n62"/>
      <w:bookmarkEnd w:id="75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8) у разі прийняття НКРЕКП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ішення про усунення порушень вимог Ліцензійних умов подати в установлений у рішенні строк до НКРЕКП інформацію про усунення зазначених у такому рішенні порушень із наданням копій підтвердних документів;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6" w:name="n63"/>
      <w:bookmarkEnd w:id="76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9) надавати послугу з захоронення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тарифом, що встановлюється уповноваженим органом;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7" w:name="n64"/>
      <w:bookmarkEnd w:id="77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10) використовувати кошти, отримані за рахунок діяльності з захоронення побутових відходів, за цільовим призначенням та з дотриманням принципів здійснення закупівель відповідно до вимог </w:t>
      </w:r>
      <w:hyperlink r:id="rId52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Закону України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«Про публічні закупі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і»;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8" w:name="n65"/>
      <w:bookmarkEnd w:id="78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11) надавати до НКРЕКП документи, інформацію та звітність, необхідні для виконання НКРЕКП своїх повноважень, в обсягах та у строки, встановлені НКРЕКП;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79" w:name="n66"/>
      <w:bookmarkEnd w:id="79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12) вести окремий бухгалтерський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 ліцензованої діяльності відповідно до національних положень (стандартів) бухгалтерського обліку;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0" w:name="n136"/>
      <w:bookmarkEnd w:id="80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12 пункту 3.2 глави 3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53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1" w:name="n67"/>
      <w:bookmarkEnd w:id="81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13) дотримуватися визначених напрямкі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обсягів використання статей витрат, передбачених тарифом на послугу з захоронення побутових відходів;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2" w:name="n137"/>
      <w:bookmarkEnd w:id="82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13 пункту 3.2 глави 3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54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3" w:name="n68"/>
      <w:bookmarkEnd w:id="83"/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14) розробляти інвестиційну програму та/або інвестиційний план, затверджувати, здійснювати їх погодження, схвалення відповідно до </w:t>
      </w:r>
      <w:hyperlink r:id="rId55" w:anchor="n9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Порядку формування, схвалення інвестиційних програм та/або інвестиційних планів суб’єктів господарювання у сфері захоронення побутових відходів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затвердженого постановою Національної комісії, що здійснює державне регулювання у сферах енергетики та комунальних послуг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від 25 травня 2017 року № 706, виконувати інвестиційну програму та/або інвестиційний план в затверджених об’ємах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відповідними напрямками;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4" w:name="n138"/>
      <w:bookmarkEnd w:id="84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14 пункту 3.2 глави 3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56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5" w:name="n69"/>
      <w:bookmarkEnd w:id="85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15) повідомляти на своєму веб-сайті та в засобах масової інформації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порядку, встановленому законодавством, про тариф на послугу з захоронення побутових відходів та його зміну;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6" w:name="n70"/>
      <w:bookmarkEnd w:id="86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16)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ічна фінансова звітність ліцензіата підлягає обов'язковій перевірці незалежним аудитором та має бути розміщена на веб-сайті ліцензіата у встановленому законом порядку. Критерії, за якими залучаються аудиторські фірми до проведення аудиту фінансової звітності або консолідованої фінансової звітності ліцензіата, мають відповідати критеріям, визначеним постановою Кабінету Міні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 України від 04 червня 2015 року </w:t>
      </w:r>
      <w:hyperlink r:id="rId57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№ 390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«Деякі питання проведення аудиту суб’єктів господарювання державного сектору економіки»;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7" w:name="n139"/>
      <w:bookmarkEnd w:id="87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17) щорічно переглядати паспорти місця видалення відходів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ідповідно до </w:t>
      </w:r>
      <w:hyperlink r:id="rId58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пункту 19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Порядку ведення реєстру місць видалення відходів, затвердженого постановою Кабінету Міністрів України від 03 серпня 1998 року № 1216.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8" w:name="n140"/>
      <w:bookmarkEnd w:id="88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{Пункт 3.2 глави 3 доповнено новим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ідпунктом 17 згідно з Постановою Національної комісії, що здійснює державне регулювання у сферах енергетики та комунальних послуг </w:t>
      </w:r>
      <w:hyperlink r:id="rId59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9" w:name="n71"/>
      <w:bookmarkEnd w:id="89"/>
      <w:r w:rsidRPr="006043C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4. Технологічні вимоги до провадження господарської діяльності з захоронення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в</w:t>
      </w:r>
      <w:proofErr w:type="gramEnd"/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0" w:name="n72"/>
      <w:bookmarkEnd w:id="90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4.1. При провадженні ліцензованої діяльності ліцензіат повинен дотримуватися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таких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технологічних вимог: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1" w:name="n73"/>
      <w:bookmarkEnd w:id="91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провадити ліцензовану діяльність за умови, що земельна ділянка та засоби провадження діяльності з захоронення побутових відходів, які розміщені в місці провадження діяльності, наявні у здобувача ліцензії (ліцензіата) на праві власності, господарського відання, користування або використовуються/експлуатуються на іншій законній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ідставі;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2" w:name="n74"/>
      <w:bookmarkEnd w:id="92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2) здійснювати ліцензовану діяльність за наявності виробничо-технічної бази, необхідної для експлуатації об’єктів, споруд, засобів механізації, призначених для захоронення побутових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ідходів;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3" w:name="n75"/>
      <w:bookmarkEnd w:id="93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дотримуватися показників якості надання послуг з захоронення побутових відходів;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4" w:name="n141"/>
      <w:bookmarkEnd w:id="94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забезпечувати в’їзд та виїзд транспортних засобів на/з територі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ю(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-її) полігона/звалища виключно через контрольно-пропускний пункт;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5" w:name="n142"/>
      <w:bookmarkEnd w:id="95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{Пункт 4.1 глави 4 доповнено новим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ідпунктом 4 згідно з Постановою Національної комісії, що здійснює державне регулювання у сферах енергетики та комунальних послуг </w:t>
      </w:r>
      <w:hyperlink r:id="rId60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6" w:name="n76"/>
      <w:bookmarkEnd w:id="96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5) приймати на захоронення побутові відходи (крім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ідких побутових відходів та небезпечних відходів у складі побутових відходів) виключно від виконавців послуг з вивезення побутових відходів, які визначені виконавцями послуг з вивезення побутових відходів на певній території відповідно до </w:t>
      </w:r>
      <w:hyperlink r:id="rId61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Порядку проведення конкурсу на надання послуг з вивезення побутових відходів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затвердженого постановою Кабінету Міні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 України від 16 липня 2011 року № 1173;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7" w:name="n143"/>
      <w:bookmarkEnd w:id="97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5 пункту 4.1 глави 4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62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8" w:name="n77"/>
      <w:bookmarkEnd w:id="98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6) приймати промислові відходи IV класу небезпеки лише для використання їх як ізолювального матеріалу та в обсягах, необхідних для ізолювання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99" w:name="n144"/>
      <w:bookmarkEnd w:id="99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6 пункту 4.1 глави 4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63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0" w:name="n78"/>
      <w:bookmarkEnd w:id="100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7) приймати залишок побутових відходів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ісля їх перероблення;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1" w:name="n79"/>
      <w:bookmarkEnd w:id="101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8) не приймати побутові відходи в одному смі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тт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євозі (спеціальному транспортному засобі), якщо вони змішані з іншими видами відходів;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2" w:name="n145"/>
      <w:bookmarkEnd w:id="102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8 пункту 4.1 глави 4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64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3" w:name="n80"/>
      <w:bookmarkEnd w:id="103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9) вести окремий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 прийнятих побутових відходів, промислових відходів ІІІ та IV класу небезпеки;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4" w:name="n146"/>
      <w:bookmarkEnd w:id="104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9 пункту 4.1 глави 4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65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5" w:name="n81"/>
      <w:bookmarkEnd w:id="105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10) вести радіометричний контроль усі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відходів, які приймаються;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6" w:name="n147"/>
      <w:bookmarkEnd w:id="106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11) зважувати усі відходи, які приймаються на полігон/звалище;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7" w:name="n149"/>
      <w:bookmarkEnd w:id="107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{Пункт 4.1 глави 4 доповнено новим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ідпунктом 11 згідно з Постановою Національної комісії, що здійснює державне регулювання у сферах енергетики та комунальних послуг </w:t>
      </w:r>
      <w:hyperlink r:id="rId66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8" w:name="n148"/>
      <w:bookmarkEnd w:id="108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12) складувати побутові відходи відповідно до вимог </w:t>
      </w:r>
      <w:hyperlink r:id="rId67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розділу ІІІ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Правил експлуатації полігонів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затверджених наказом Міністерства з питань житлово-комунального господарства України від 01 грудня 2010 року № 435;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09" w:name="n150"/>
      <w:bookmarkEnd w:id="109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 xml:space="preserve">{Пункт 4.1 глави 4 доповнено новим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ідпунктом 12 згідно з Постановою Національної комісії, що здійснює державне регулювання у сферах енергетики та комунальних послуг </w:t>
      </w:r>
      <w:hyperlink r:id="rId68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0" w:name="n82"/>
      <w:bookmarkEnd w:id="110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13) захищати місце провадження діяльності від затоплення зливовими та талими водами з вищерозташованих земельних масивів (ділянок);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1" w:name="n151"/>
      <w:bookmarkEnd w:id="111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{Підпункт 13 пункту 4.1 глави 4 в редакц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ії 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останови Національної комісії, що здійснює державне регулювання у сферах енергетики та комунальних послуг </w:t>
      </w:r>
      <w:hyperlink r:id="rId69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2" w:name="n83"/>
      <w:bookmarkEnd w:id="112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14) забезпечити непотрапляння/непроникнення фільтрату у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ідземні та поверхневі води, збираючи фільтрат у контрольні ставки або в регулюючі ємності, та очищувати/знезаражувати його;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3" w:name="n152"/>
      <w:bookmarkEnd w:id="113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14 пункту 4.1 глави 4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70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4" w:name="n84"/>
      <w:bookmarkEnd w:id="114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15) зволожувати полігона/звалища у пожежонебезпечні періоди;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5" w:name="n153"/>
      <w:bookmarkEnd w:id="115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15 пункту 4.1 глави 4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71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6" w:name="n85"/>
      <w:bookmarkEnd w:id="116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16) здійснювати рекультивацію черги полігону/звалища та полігона/звалища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ісля їх закриття;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7" w:name="n86"/>
      <w:bookmarkEnd w:id="117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17) здійснювати дегазацію полігона/звалища;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8" w:name="n87"/>
      <w:bookmarkEnd w:id="118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18) здійснювати контроль за станом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ідземних вод, водойм, атмосферного повітря, ґрунтів у зоні можливого негативного впливу місця провадження діяльності;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9" w:name="n154"/>
      <w:bookmarkEnd w:id="119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18 пункту 4.1 глави 4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72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0" w:name="n88"/>
      <w:bookmarkEnd w:id="120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19) унеможливлювати несанкціоноване потрапляння осіб на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ісце провадження ліцензованої діяльності;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1" w:name="n155"/>
      <w:bookmarkEnd w:id="121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20) ізолювати верхню частину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ічним екраном із шару ґрунту (глини, суглинку) або подрібнених будівельних відходів завтовшки не менше ніж 200 мм.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2" w:name="n156"/>
      <w:bookmarkEnd w:id="122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{Пункт 4.1 глави 4 доповнено новим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ідпунктом 20 згідно з Постановою Національної комісії, що здійснює державне регулювання у сферах енергетики та комунальних послуг </w:t>
      </w:r>
      <w:hyperlink r:id="rId73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3" w:name="n89"/>
      <w:bookmarkEnd w:id="123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4.2. Ліцензіати для виконання вимог, передбачених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ідпунктами 4-16 пункту 4.1 цієї глави, повинні забезпечити наявність: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4" w:name="n90"/>
      <w:bookmarkEnd w:id="124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контрольно-пропускного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пункту;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5" w:name="n91"/>
      <w:bookmarkEnd w:id="125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автомобільних ваг;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6" w:name="n92"/>
      <w:bookmarkEnd w:id="126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приладів радіометричного контролю;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7" w:name="n93"/>
      <w:bookmarkEnd w:id="127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контрольно-дезінфікуючої зони;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8" w:name="n94"/>
      <w:bookmarkEnd w:id="128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5) гідротехнічних споруд від затоплення зливовими та талими водами;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9" w:name="n95"/>
      <w:bookmarkEnd w:id="129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6) протифільтраційного екрану (донного та у разі необхідності бортового) полігона/звалища з коефіцієнтом фільтрації води не більше 10-9 м/с з товщиною протифільтраційного екрану з природних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іалів не менше 1,0 м та/або штучного протифільтраційного екрану з синтетичних матеріалів високої щільності не менше 3,0 мм;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0" w:name="n157"/>
      <w:bookmarkEnd w:id="130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{Підпункт 6 пункту 4.2 глави 4 в редакц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ії 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останови Національної комісії, що здійснює державне регулювання у сферах енергетики та комунальних послуг </w:t>
      </w:r>
      <w:hyperlink r:id="rId74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1" w:name="n96"/>
      <w:bookmarkEnd w:id="131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7) дренажної системи для збирання та відведення фільтрату у контрольні ставки або регулюючі ємності, що повинні забезпечити виключення потрапляння фільтрату у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ідземні води та поверхневі води;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2" w:name="n158"/>
      <w:bookmarkEnd w:id="132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7 пункту 4.2 глави 4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75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3" w:name="n159"/>
      <w:bookmarkEnd w:id="133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8) системи очищення/знешкодження фільтрату;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4" w:name="n160"/>
      <w:bookmarkEnd w:id="134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{Пункт 4.2 глави 4 доповнено новим 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ідпунктом 8 згідно з Постановою Національної комісії, що здійснює державне регулювання у сферах енергетики та комунальних послуг </w:t>
      </w:r>
      <w:hyperlink r:id="rId76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5" w:name="n97"/>
      <w:bookmarkEnd w:id="135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9) рекомендації з рекультивації полігона/звалища та проекту рекультивації кожної закритої черги полігона/звалища;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6" w:name="n161"/>
      <w:bookmarkEnd w:id="136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{Підпункт 9 пункту 4.2 глави 4 в редакц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ії 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останови Національної комісії, що здійснює державне регулювання у сферах енергетики та комунальних послуг </w:t>
      </w:r>
      <w:hyperlink r:id="rId77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7" w:name="n98"/>
      <w:bookmarkEnd w:id="137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10) системи дегазації полігона;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8" w:name="n162"/>
      <w:bookmarkEnd w:id="138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ідпункт 10 пункту 4.2 глави 4 із змінами, внесеними згідно з Постановою Національної комісії, що здійснює державне регулювання у сферах енергетики та комунальних послуг </w:t>
      </w:r>
      <w:hyperlink r:id="rId78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9" w:name="n99"/>
      <w:bookmarkEnd w:id="139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11) суцільної огорожі заввишки до 2,0 - 2,5 м по периметру території полігона/звалища або ґрунтового валу заввишки 1,5 - 1,7 м і завширшки 3,0 - 3,5 м.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40" w:name="n163"/>
      <w:bookmarkEnd w:id="140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{Підпункт 11 пункту 4.2 глави 4 в редакц</w:t>
      </w:r>
      <w:proofErr w:type="gramStart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ії П</w:t>
      </w:r>
      <w:proofErr w:type="gramEnd"/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останови Національної комісії, що здійснює державне регулювання у сферах енергетики та комунальних послуг </w:t>
      </w:r>
      <w:hyperlink r:id="rId79" w:anchor="n11" w:tgtFrame="_blank" w:history="1">
        <w:r w:rsidRPr="006043C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ru-RU" w:eastAsia="ru-RU"/>
          </w:rPr>
          <w:t>№ 115 від 01.02.2019</w:t>
        </w:r>
      </w:hyperlink>
      <w:r w:rsidRPr="006043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}</w:t>
      </w:r>
    </w:p>
    <w:p w:rsidR="006043C6" w:rsidRPr="006043C6" w:rsidRDefault="006043C6" w:rsidP="006043C6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41" w:name="n100"/>
      <w:bookmarkEnd w:id="141"/>
      <w:r w:rsidRPr="006043C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5. Спеціальні вимоги до провадження господарської діяльності з захоронення побутових відході</w:t>
      </w:r>
      <w:proofErr w:type="gramStart"/>
      <w:r w:rsidRPr="006043C6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в</w:t>
      </w:r>
      <w:proofErr w:type="gramEnd"/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42" w:name="n101"/>
      <w:bookmarkEnd w:id="142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Не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допускається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здійснення над ліцензіатом (здобувачем ліцензії) контролю у значенні, наведеному у </w:t>
      </w:r>
      <w:hyperlink r:id="rId80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статті 1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Закону України «Про захист економічної конкуренції», резидентами держав, що здійснюють збройну агресію проти України, у значенні, наведеному у </w:t>
      </w:r>
      <w:hyperlink r:id="rId81" w:anchor="n138" w:tgtFrame="_blank" w:history="1">
        <w:r w:rsidRPr="006043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 w:eastAsia="ru-RU"/>
          </w:rPr>
          <w:t>статті 1</w:t>
        </w:r>
      </w:hyperlink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Закону України «Про оборону України», та/або дії яких створюють умови для виникнення воєнного конфлікту та застосування воєнної сили проти України.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43" w:name="n102"/>
      <w:bookmarkEnd w:id="143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5.2. При провадженні господарської діяльності, яка не належить до сфери природних монополій, ліцензіат повинен дотримуватися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таких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спеціальних вимог: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44" w:name="n103"/>
      <w:bookmarkEnd w:id="144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забезпечити ведення бухгалтерського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іку інших видів діяльності окремо від обліку господарської діяльності з захоронення побутових відходів;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45" w:name="n104"/>
      <w:bookmarkEnd w:id="145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не допускати перехресного субсидіювання;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46" w:name="n105"/>
      <w:bookmarkEnd w:id="146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3) забезпечити щоквартальне та щорічне надання до НКРЕКП інформації за формою, встановленою НКРЕКП, про результати виконання </w:t>
      </w:r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іальних вимог при провадженні інших видів діяльності.</w:t>
      </w:r>
    </w:p>
    <w:p w:rsidR="006043C6" w:rsidRPr="006043C6" w:rsidRDefault="006043C6" w:rsidP="006043C6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47" w:name="n106"/>
      <w:bookmarkEnd w:id="147"/>
      <w:proofErr w:type="gramStart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разі порушення зазначених вище вимог щодо провадження господарської діяльності, яка не належить до сфери природних монополій, за умов, якщо ця діяльність має вплив на ринок, що перебуває у стані природної монополії, ліцензіат зобов’язаний обмежити провадження інших, крім ліцензованих, видів діяльності, які є збитковими та призводять до загального збиткового ф</w:t>
      </w:r>
      <w:proofErr w:type="gramEnd"/>
      <w:r w:rsidRPr="00604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інансового результату провадження їх діяльності.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6043C6" w:rsidRPr="006043C6" w:rsidTr="006043C6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043C6" w:rsidRPr="006043C6" w:rsidRDefault="006043C6" w:rsidP="006043C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48" w:name="n107"/>
            <w:bookmarkEnd w:id="148"/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Начальник</w:t>
            </w:r>
            <w:r w:rsidRPr="006043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Управління ліцензування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043C6" w:rsidRPr="006043C6" w:rsidRDefault="006043C6" w:rsidP="006043C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43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60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Ю. Антонюк</w:t>
            </w:r>
          </w:p>
        </w:tc>
      </w:tr>
    </w:tbl>
    <w:p w:rsidR="00DE6F30" w:rsidRDefault="00DE6F30"/>
    <w:sectPr w:rsidR="00DE6F30" w:rsidSect="00DE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43C6"/>
    <w:rsid w:val="00052C4F"/>
    <w:rsid w:val="006043C6"/>
    <w:rsid w:val="006E5BDE"/>
    <w:rsid w:val="00D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6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6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6043C6"/>
  </w:style>
  <w:style w:type="character" w:customStyle="1" w:styleId="rvts23">
    <w:name w:val="rvts23"/>
    <w:basedOn w:val="a0"/>
    <w:rsid w:val="006043C6"/>
  </w:style>
  <w:style w:type="paragraph" w:customStyle="1" w:styleId="rvps7">
    <w:name w:val="rvps7"/>
    <w:basedOn w:val="a"/>
    <w:rsid w:val="006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043C6"/>
  </w:style>
  <w:style w:type="paragraph" w:customStyle="1" w:styleId="rvps12">
    <w:name w:val="rvps12"/>
    <w:basedOn w:val="a"/>
    <w:rsid w:val="006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8">
    <w:name w:val="rvts48"/>
    <w:basedOn w:val="a0"/>
    <w:rsid w:val="006043C6"/>
  </w:style>
  <w:style w:type="character" w:styleId="a3">
    <w:name w:val="Hyperlink"/>
    <w:basedOn w:val="a0"/>
    <w:uiPriority w:val="99"/>
    <w:semiHidden/>
    <w:unhideWhenUsed/>
    <w:rsid w:val="006043C6"/>
    <w:rPr>
      <w:color w:val="0000FF"/>
      <w:u w:val="single"/>
    </w:rPr>
  </w:style>
  <w:style w:type="paragraph" w:customStyle="1" w:styleId="rvps6">
    <w:name w:val="rvps6"/>
    <w:basedOn w:val="a"/>
    <w:rsid w:val="006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6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6043C6"/>
  </w:style>
  <w:style w:type="character" w:customStyle="1" w:styleId="rvts46">
    <w:name w:val="rvts46"/>
    <w:basedOn w:val="a0"/>
    <w:rsid w:val="006043C6"/>
  </w:style>
  <w:style w:type="character" w:customStyle="1" w:styleId="rvts11">
    <w:name w:val="rvts11"/>
    <w:basedOn w:val="a0"/>
    <w:rsid w:val="006043C6"/>
  </w:style>
  <w:style w:type="character" w:customStyle="1" w:styleId="rvts44">
    <w:name w:val="rvts44"/>
    <w:basedOn w:val="a0"/>
    <w:rsid w:val="006043C6"/>
  </w:style>
  <w:style w:type="paragraph" w:customStyle="1" w:styleId="rvps15">
    <w:name w:val="rvps15"/>
    <w:basedOn w:val="a"/>
    <w:rsid w:val="006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6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3C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v0115874-19" TargetMode="External"/><Relationship Id="rId18" Type="http://schemas.openxmlformats.org/officeDocument/2006/relationships/hyperlink" Target="https://zakon.rada.gov.ua/laws/show/1682-14" TargetMode="External"/><Relationship Id="rId26" Type="http://schemas.openxmlformats.org/officeDocument/2006/relationships/hyperlink" Target="https://zakon.rada.gov.ua/laws/show/v0115874-19" TargetMode="External"/><Relationship Id="rId39" Type="http://schemas.openxmlformats.org/officeDocument/2006/relationships/hyperlink" Target="https://zakon.rada.gov.ua/laws/show/v0115874-19" TargetMode="External"/><Relationship Id="rId21" Type="http://schemas.openxmlformats.org/officeDocument/2006/relationships/hyperlink" Target="https://zakon.rada.gov.ua/laws/show/1540-19" TargetMode="External"/><Relationship Id="rId34" Type="http://schemas.openxmlformats.org/officeDocument/2006/relationships/hyperlink" Target="https://zakon.rada.gov.ua/laws/show/1682-14" TargetMode="External"/><Relationship Id="rId42" Type="http://schemas.openxmlformats.org/officeDocument/2006/relationships/hyperlink" Target="https://zakon.rada.gov.ua/laws/show/322-08" TargetMode="External"/><Relationship Id="rId47" Type="http://schemas.openxmlformats.org/officeDocument/2006/relationships/hyperlink" Target="https://zakon.rada.gov.ua/laws/show/1540-19" TargetMode="External"/><Relationship Id="rId50" Type="http://schemas.openxmlformats.org/officeDocument/2006/relationships/hyperlink" Target="https://zakon.rada.gov.ua/laws/show/v0115874-19" TargetMode="External"/><Relationship Id="rId55" Type="http://schemas.openxmlformats.org/officeDocument/2006/relationships/hyperlink" Target="https://zakon.rada.gov.ua/laws/show/v0706874-17" TargetMode="External"/><Relationship Id="rId63" Type="http://schemas.openxmlformats.org/officeDocument/2006/relationships/hyperlink" Target="https://zakon.rada.gov.ua/laws/show/v0115874-19" TargetMode="External"/><Relationship Id="rId68" Type="http://schemas.openxmlformats.org/officeDocument/2006/relationships/hyperlink" Target="https://zakon.rada.gov.ua/laws/show/v0115874-19" TargetMode="External"/><Relationship Id="rId76" Type="http://schemas.openxmlformats.org/officeDocument/2006/relationships/hyperlink" Target="https://zakon.rada.gov.ua/laws/show/v0115874-19" TargetMode="External"/><Relationship Id="rId7" Type="http://schemas.openxmlformats.org/officeDocument/2006/relationships/hyperlink" Target="https://zakon.rada.gov.ua/laws/show/1682-14" TargetMode="External"/><Relationship Id="rId71" Type="http://schemas.openxmlformats.org/officeDocument/2006/relationships/hyperlink" Target="https://zakon.rada.gov.ua/laws/show/v0115874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13/95-%D0%B2%D1%80" TargetMode="External"/><Relationship Id="rId29" Type="http://schemas.openxmlformats.org/officeDocument/2006/relationships/hyperlink" Target="https://zakon.rada.gov.ua/laws/show/v0115874-19" TargetMode="External"/><Relationship Id="rId11" Type="http://schemas.openxmlformats.org/officeDocument/2006/relationships/hyperlink" Target="https://zakon.rada.gov.ua/laws/show/v0467874-17" TargetMode="External"/><Relationship Id="rId24" Type="http://schemas.openxmlformats.org/officeDocument/2006/relationships/hyperlink" Target="https://zakon.rada.gov.ua/laws/show/187/98-%D0%B2%D1%80" TargetMode="External"/><Relationship Id="rId32" Type="http://schemas.openxmlformats.org/officeDocument/2006/relationships/hyperlink" Target="https://zakon.rada.gov.ua/laws/show/2707-12" TargetMode="External"/><Relationship Id="rId37" Type="http://schemas.openxmlformats.org/officeDocument/2006/relationships/hyperlink" Target="https://zakon.rada.gov.ua/laws/show/v0467874-17" TargetMode="External"/><Relationship Id="rId40" Type="http://schemas.openxmlformats.org/officeDocument/2006/relationships/hyperlink" Target="https://zakon.rada.gov.ua/laws/show/1216-98-%D0%BF" TargetMode="External"/><Relationship Id="rId45" Type="http://schemas.openxmlformats.org/officeDocument/2006/relationships/hyperlink" Target="https://zakon.rada.gov.ua/laws/show/v0115874-19" TargetMode="External"/><Relationship Id="rId53" Type="http://schemas.openxmlformats.org/officeDocument/2006/relationships/hyperlink" Target="https://zakon.rada.gov.ua/laws/show/v0115874-19" TargetMode="External"/><Relationship Id="rId58" Type="http://schemas.openxmlformats.org/officeDocument/2006/relationships/hyperlink" Target="https://zakon.rada.gov.ua/laws/show/1216-98-%D0%BF" TargetMode="External"/><Relationship Id="rId66" Type="http://schemas.openxmlformats.org/officeDocument/2006/relationships/hyperlink" Target="https://zakon.rada.gov.ua/laws/show/v0115874-19" TargetMode="External"/><Relationship Id="rId74" Type="http://schemas.openxmlformats.org/officeDocument/2006/relationships/hyperlink" Target="https://zakon.rada.gov.ua/laws/show/v0115874-19" TargetMode="External"/><Relationship Id="rId79" Type="http://schemas.openxmlformats.org/officeDocument/2006/relationships/hyperlink" Target="https://zakon.rada.gov.ua/laws/show/v0115874-19" TargetMode="External"/><Relationship Id="rId5" Type="http://schemas.openxmlformats.org/officeDocument/2006/relationships/hyperlink" Target="https://zakon.rada.gov.ua/laws/show/v1565874-19" TargetMode="External"/><Relationship Id="rId61" Type="http://schemas.openxmlformats.org/officeDocument/2006/relationships/hyperlink" Target="https://zakon.rada.gov.ua/laws/show/1173-2011-%D0%BF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zakon.rada.gov.ua/laws/show/1540-19" TargetMode="External"/><Relationship Id="rId19" Type="http://schemas.openxmlformats.org/officeDocument/2006/relationships/hyperlink" Target="https://zakon.rada.gov.ua/laws/show/1540-19" TargetMode="External"/><Relationship Id="rId31" Type="http://schemas.openxmlformats.org/officeDocument/2006/relationships/hyperlink" Target="https://zakon.rada.gov.ua/laws/show/213/95-%D0%B2%D1%80" TargetMode="External"/><Relationship Id="rId44" Type="http://schemas.openxmlformats.org/officeDocument/2006/relationships/hyperlink" Target="https://zakon.rada.gov.ua/laws/show/v0115874-19" TargetMode="External"/><Relationship Id="rId52" Type="http://schemas.openxmlformats.org/officeDocument/2006/relationships/hyperlink" Target="https://zakon.rada.gov.ua/laws/show/922-19" TargetMode="External"/><Relationship Id="rId60" Type="http://schemas.openxmlformats.org/officeDocument/2006/relationships/hyperlink" Target="https://zakon.rada.gov.ua/laws/show/v0115874-19" TargetMode="External"/><Relationship Id="rId65" Type="http://schemas.openxmlformats.org/officeDocument/2006/relationships/hyperlink" Target="https://zakon.rada.gov.ua/laws/show/v0115874-19" TargetMode="External"/><Relationship Id="rId73" Type="http://schemas.openxmlformats.org/officeDocument/2006/relationships/hyperlink" Target="https://zakon.rada.gov.ua/laws/show/v0115874-19" TargetMode="External"/><Relationship Id="rId78" Type="http://schemas.openxmlformats.org/officeDocument/2006/relationships/hyperlink" Target="https://zakon.rada.gov.ua/laws/show/v0115874-19" TargetMode="External"/><Relationship Id="rId81" Type="http://schemas.openxmlformats.org/officeDocument/2006/relationships/hyperlink" Target="https://zakon.rada.gov.ua/laws/show/1932-12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22-19" TargetMode="External"/><Relationship Id="rId14" Type="http://schemas.openxmlformats.org/officeDocument/2006/relationships/hyperlink" Target="https://zakon.rada.gov.ua/laws/show/v0115874-19" TargetMode="External"/><Relationship Id="rId22" Type="http://schemas.openxmlformats.org/officeDocument/2006/relationships/hyperlink" Target="https://zakon.rada.gov.ua/laws/show/2479-17" TargetMode="External"/><Relationship Id="rId27" Type="http://schemas.openxmlformats.org/officeDocument/2006/relationships/hyperlink" Target="https://zakon.rada.gov.ua/laws/show/v0115874-19" TargetMode="External"/><Relationship Id="rId30" Type="http://schemas.openxmlformats.org/officeDocument/2006/relationships/hyperlink" Target="https://zakon.rada.gov.ua/laws/show/v0115874-19" TargetMode="External"/><Relationship Id="rId35" Type="http://schemas.openxmlformats.org/officeDocument/2006/relationships/hyperlink" Target="https://zakon.rada.gov.ua/laws/show/222-19" TargetMode="External"/><Relationship Id="rId43" Type="http://schemas.openxmlformats.org/officeDocument/2006/relationships/hyperlink" Target="https://zakon.rada.gov.ua/laws/show/v0115874-19" TargetMode="External"/><Relationship Id="rId48" Type="http://schemas.openxmlformats.org/officeDocument/2006/relationships/hyperlink" Target="https://zakon.rada.gov.ua/laws/show/187/98-%D0%B2%D1%80" TargetMode="External"/><Relationship Id="rId56" Type="http://schemas.openxmlformats.org/officeDocument/2006/relationships/hyperlink" Target="https://zakon.rada.gov.ua/laws/show/v0115874-19" TargetMode="External"/><Relationship Id="rId64" Type="http://schemas.openxmlformats.org/officeDocument/2006/relationships/hyperlink" Target="https://zakon.rada.gov.ua/laws/show/v0115874-19" TargetMode="External"/><Relationship Id="rId69" Type="http://schemas.openxmlformats.org/officeDocument/2006/relationships/hyperlink" Target="https://zakon.rada.gov.ua/laws/show/v0115874-19" TargetMode="External"/><Relationship Id="rId77" Type="http://schemas.openxmlformats.org/officeDocument/2006/relationships/hyperlink" Target="https://zakon.rada.gov.ua/laws/show/v0115874-19" TargetMode="External"/><Relationship Id="rId8" Type="http://schemas.openxmlformats.org/officeDocument/2006/relationships/hyperlink" Target="https://zakon.rada.gov.ua/laws/show/2479-17" TargetMode="External"/><Relationship Id="rId51" Type="http://schemas.openxmlformats.org/officeDocument/2006/relationships/hyperlink" Target="https://zakon.rada.gov.ua/laws/show/222-19" TargetMode="External"/><Relationship Id="rId72" Type="http://schemas.openxmlformats.org/officeDocument/2006/relationships/hyperlink" Target="https://zakon.rada.gov.ua/laws/show/v0115874-19" TargetMode="External"/><Relationship Id="rId80" Type="http://schemas.openxmlformats.org/officeDocument/2006/relationships/hyperlink" Target="https://zakon.rada.gov.ua/laws/show/2210-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v0115874-19" TargetMode="External"/><Relationship Id="rId17" Type="http://schemas.openxmlformats.org/officeDocument/2006/relationships/hyperlink" Target="https://zakon.rada.gov.ua/laws/show/222-19" TargetMode="External"/><Relationship Id="rId25" Type="http://schemas.openxmlformats.org/officeDocument/2006/relationships/hyperlink" Target="https://zakon.rada.gov.ua/laws/show/2707-12" TargetMode="External"/><Relationship Id="rId33" Type="http://schemas.openxmlformats.org/officeDocument/2006/relationships/hyperlink" Target="https://zakon.rada.gov.ua/laws/show/187/98-%D0%B2%D1%80" TargetMode="External"/><Relationship Id="rId38" Type="http://schemas.openxmlformats.org/officeDocument/2006/relationships/hyperlink" Target="https://zakon.rada.gov.ua/laws/show/v0467874-17" TargetMode="External"/><Relationship Id="rId46" Type="http://schemas.openxmlformats.org/officeDocument/2006/relationships/hyperlink" Target="https://zakon.rada.gov.ua/laws/show/2479-17" TargetMode="External"/><Relationship Id="rId59" Type="http://schemas.openxmlformats.org/officeDocument/2006/relationships/hyperlink" Target="https://zakon.rada.gov.ua/laws/show/v0115874-19" TargetMode="External"/><Relationship Id="rId67" Type="http://schemas.openxmlformats.org/officeDocument/2006/relationships/hyperlink" Target="https://zakon.rada.gov.ua/laws/show/z1307-10" TargetMode="External"/><Relationship Id="rId20" Type="http://schemas.openxmlformats.org/officeDocument/2006/relationships/hyperlink" Target="https://zakon.rada.gov.ua/laws/show/1540-19" TargetMode="External"/><Relationship Id="rId41" Type="http://schemas.openxmlformats.org/officeDocument/2006/relationships/hyperlink" Target="https://zakon.rada.gov.ua/laws/show/v0467874-17" TargetMode="External"/><Relationship Id="rId54" Type="http://schemas.openxmlformats.org/officeDocument/2006/relationships/hyperlink" Target="https://zakon.rada.gov.ua/laws/show/v0115874-19" TargetMode="External"/><Relationship Id="rId62" Type="http://schemas.openxmlformats.org/officeDocument/2006/relationships/hyperlink" Target="https://zakon.rada.gov.ua/laws/show/v0115874-19" TargetMode="External"/><Relationship Id="rId70" Type="http://schemas.openxmlformats.org/officeDocument/2006/relationships/hyperlink" Target="https://zakon.rada.gov.ua/laws/show/v0115874-19" TargetMode="External"/><Relationship Id="rId75" Type="http://schemas.openxmlformats.org/officeDocument/2006/relationships/hyperlink" Target="https://zakon.rada.gov.ua/laws/show/v0115874-19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115874-19" TargetMode="External"/><Relationship Id="rId15" Type="http://schemas.openxmlformats.org/officeDocument/2006/relationships/hyperlink" Target="https://zakon.rada.gov.ua/laws/show/v0467874-17" TargetMode="External"/><Relationship Id="rId23" Type="http://schemas.openxmlformats.org/officeDocument/2006/relationships/hyperlink" Target="https://zakon.rada.gov.ua/laws/show/1875-15" TargetMode="External"/><Relationship Id="rId28" Type="http://schemas.openxmlformats.org/officeDocument/2006/relationships/hyperlink" Target="https://zakon.rada.gov.ua/laws/show/v0115874-19" TargetMode="External"/><Relationship Id="rId36" Type="http://schemas.openxmlformats.org/officeDocument/2006/relationships/hyperlink" Target="https://zakon.rada.gov.ua/laws/show/v0467874-17" TargetMode="External"/><Relationship Id="rId49" Type="http://schemas.openxmlformats.org/officeDocument/2006/relationships/hyperlink" Target="https://zakon.rada.gov.ua/laws/show/v0115874-19" TargetMode="External"/><Relationship Id="rId57" Type="http://schemas.openxmlformats.org/officeDocument/2006/relationships/hyperlink" Target="https://zakon.rada.gov.ua/laws/show/390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4982</Words>
  <Characters>28401</Characters>
  <Application>Microsoft Office Word</Application>
  <DocSecurity>0</DocSecurity>
  <Lines>236</Lines>
  <Paragraphs>66</Paragraphs>
  <ScaleCrop>false</ScaleCrop>
  <Company/>
  <LinksUpToDate>false</LinksUpToDate>
  <CharactersWithSpaces>33317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2019-11-12T14:25:00Z</dcterms:created>
  <dcterms:modified xsi:type="dcterms:W3CDTF">2019-11-12T14:28:00Z</dcterms:modified>
</cp:coreProperties>
</file>